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1CA" w:rsidRDefault="006371CA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6371CA" w:rsidRDefault="006371CA">
      <w:pPr>
        <w:pStyle w:val="newncpi"/>
        <w:ind w:firstLine="0"/>
        <w:jc w:val="center"/>
      </w:pPr>
      <w:r>
        <w:rPr>
          <w:rStyle w:val="datepr"/>
        </w:rPr>
        <w:t>10 июня 2019 г.</w:t>
      </w:r>
      <w:r>
        <w:rPr>
          <w:rStyle w:val="number"/>
        </w:rPr>
        <w:t xml:space="preserve"> № 286</w:t>
      </w:r>
    </w:p>
    <w:p w:rsidR="006371CA" w:rsidRDefault="006371CA">
      <w:pPr>
        <w:pStyle w:val="titlencpi"/>
      </w:pPr>
      <w:r>
        <w:t>Об установлении норматива фактического потребления тепловой энергии</w:t>
      </w:r>
    </w:p>
    <w:p w:rsidR="006371CA" w:rsidRDefault="006371CA">
      <w:pPr>
        <w:pStyle w:val="preamble"/>
      </w:pPr>
      <w:r>
        <w:t>На основании пункта 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6371CA" w:rsidRDefault="006371CA">
      <w:pPr>
        <w:pStyle w:val="point"/>
      </w:pPr>
      <w:r>
        <w:t>1. Установить норматив фактического потребления тепловой энергии за май 2019 года на подогрев одного кубического метра воды по жилым домам, не оборудованным приборами группового учета расхода тепловой энергии на подогрев воды, с регистрами полотенцесушителей в ванных комнатах по городу Ивье – 0,0680 гигакалории.</w:t>
      </w:r>
    </w:p>
    <w:p w:rsidR="006371CA" w:rsidRDefault="006371CA">
      <w:pPr>
        <w:pStyle w:val="point"/>
      </w:pPr>
      <w:r>
        <w:t>2. Настоящее решение вступает в силу после его официального опубликования.</w:t>
      </w:r>
    </w:p>
    <w:p w:rsidR="006371CA" w:rsidRDefault="006371C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1"/>
        <w:gridCol w:w="3987"/>
      </w:tblGrid>
      <w:tr w:rsidR="006371CA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371CA" w:rsidRDefault="006371CA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371CA" w:rsidRDefault="006371CA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6371CA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371CA" w:rsidRDefault="006371CA">
            <w:pPr>
              <w:pStyle w:val="newncpi0"/>
              <w:jc w:val="left"/>
            </w:pPr>
            <w: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371CA" w:rsidRDefault="006371CA">
            <w:pPr>
              <w:pStyle w:val="newncpi0"/>
              <w:jc w:val="right"/>
            </w:pPr>
            <w:r>
              <w:t> </w:t>
            </w:r>
          </w:p>
        </w:tc>
      </w:tr>
      <w:tr w:rsidR="006371CA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371CA" w:rsidRDefault="006371CA">
            <w:pPr>
              <w:pStyle w:val="newncpi0"/>
              <w:jc w:val="left"/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 управляющего делами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371CA" w:rsidRDefault="006371CA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6371CA" w:rsidRDefault="006371CA">
      <w:pPr>
        <w:pStyle w:val="newncpi"/>
      </w:pPr>
      <w:r>
        <w:t> </w:t>
      </w:r>
    </w:p>
    <w:p w:rsidR="00691835" w:rsidRDefault="00691835"/>
    <w:sectPr w:rsidR="00691835" w:rsidSect="00EF58DC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1CA"/>
    <w:rsid w:val="006371CA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371CA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6371C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6371C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6371C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6371CA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6371C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371C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371C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371C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371C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371CA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371CA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6371C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6371C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6371CA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6371CA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6371C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371C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371C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371C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371C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371CA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2019-11-27T09:51:00Z</dcterms:created>
  <dcterms:modified xsi:type="dcterms:W3CDTF">2019-11-27T09:51:00Z</dcterms:modified>
</cp:coreProperties>
</file>